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F8EB" w14:textId="77777777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sz w:val="20"/>
          <w:u w:val="single"/>
          <w:lang w:val="es-BO"/>
        </w:rPr>
        <w:t>TERMINOS DE REFERENCIA</w:t>
      </w:r>
    </w:p>
    <w:p w14:paraId="5AEFD0CE" w14:textId="5962D971" w:rsidR="001C2411" w:rsidRPr="001C2411" w:rsidRDefault="001C2411" w:rsidP="001C2411">
      <w:pPr>
        <w:pStyle w:val="Sinespaciado"/>
        <w:jc w:val="center"/>
        <w:rPr>
          <w:rFonts w:ascii="Century Gothic" w:hAnsi="Century Gothic"/>
          <w:b/>
          <w:bCs/>
        </w:rPr>
      </w:pPr>
      <w:r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</w:p>
    <w:p w14:paraId="4ECF41B6" w14:textId="3FD91859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</w:p>
    <w:p w14:paraId="0018C401" w14:textId="403C9FEA" w:rsidR="00D543B5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Antecedentes</w:t>
      </w:r>
    </w:p>
    <w:p w14:paraId="5A359FD7" w14:textId="1A174357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los últimos años, a pesar de que </w:t>
      </w:r>
      <w:r>
        <w:rPr>
          <w:rFonts w:ascii="Century Gothic" w:hAnsi="Century Gothic"/>
          <w:bCs/>
          <w:sz w:val="20"/>
          <w:lang w:val="es-BO"/>
        </w:rPr>
        <w:t>B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olivia ha avanzado en cuanto al reconocimiento de marcos internacionales de derechos humanos y cuenta con un avance normativo en materia de salud sexual y salud reproductiva todavía presenta datos preocupantes que reflejan una brecha entre la norma y su aplicación que afecta de manera directa al ejercicio de derechos de las mujeres en situación de mayor vulnerabilidad.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>n este marco el proyecto: “</w:t>
      </w:r>
      <w:r>
        <w:rPr>
          <w:rFonts w:ascii="Century Gothic" w:hAnsi="Century Gothic"/>
          <w:bCs/>
          <w:sz w:val="20"/>
          <w:lang w:val="es-BO"/>
        </w:rPr>
        <w:t>F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ortaleciendo el sistema público de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alud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>
        <w:rPr>
          <w:rFonts w:ascii="Century Gothic" w:hAnsi="Century Gothic"/>
          <w:bCs/>
          <w:sz w:val="20"/>
          <w:lang w:val="es-BO"/>
        </w:rPr>
        <w:t>R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eproductiva y la articulación del tejido social y cultural, en el marco de los derechos humanos, la igualdad de género e interculturalidad”. </w:t>
      </w:r>
      <w:r>
        <w:rPr>
          <w:rFonts w:ascii="Century Gothic" w:hAnsi="Century Gothic"/>
          <w:bCs/>
          <w:sz w:val="20"/>
          <w:lang w:val="es-BO"/>
        </w:rPr>
        <w:t>Q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ue es financiado por la </w:t>
      </w:r>
      <w:r>
        <w:rPr>
          <w:rFonts w:ascii="Century Gothic" w:hAnsi="Century Gothic"/>
          <w:bCs/>
          <w:sz w:val="20"/>
          <w:lang w:val="es-BO"/>
        </w:rPr>
        <w:t>G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eneralitat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alenciana pretende contribuir al ejercicio de la salud sexual y salud reproductiva como derecho humano, promoviendo la implementación de políticas públicas inclusivas desde una perspectiva de igualdad de género y de interculturalidad. en específico, se plantea fortalecer el sistema público de salud en atención primaria y el acceso a servicios de salud sexual y reproductiva integrales, interculturales y de calidad, con énfasis en salud materna incidiendo en las brechas que impiden la aplicabilidad efectiva de las normas y el acceso de las mujeres al derecho a la salud</w:t>
      </w:r>
      <w:r>
        <w:rPr>
          <w:rFonts w:ascii="Century Gothic" w:hAnsi="Century Gothic"/>
          <w:bCs/>
          <w:sz w:val="20"/>
          <w:lang w:val="es-BO"/>
        </w:rPr>
        <w:t>. 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 lleva a cabo en el departamento de </w:t>
      </w:r>
      <w:r>
        <w:rPr>
          <w:rFonts w:ascii="Century Gothic" w:hAnsi="Century Gothic"/>
          <w:bCs/>
          <w:sz w:val="20"/>
          <w:lang w:val="es-BO"/>
        </w:rPr>
        <w:t>L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az, concretamente en tres municipios: el municipio de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 </w:t>
      </w:r>
      <w:r>
        <w:rPr>
          <w:rFonts w:ascii="Century Gothic" w:hAnsi="Century Gothic"/>
          <w:bCs/>
          <w:sz w:val="20"/>
          <w:lang w:val="es-BO"/>
        </w:rPr>
        <w:t>A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lto (área peri-urbana), el municipio de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ucarani (área rural) y el municipio de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iacha (periurbano y rural).</w:t>
      </w:r>
    </w:p>
    <w:p w14:paraId="7F2AD766" w14:textId="16059F11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>ara alcanzar el mencionado objetivo se plantean tres ejes fundamentales de intervención:</w:t>
      </w:r>
    </w:p>
    <w:p w14:paraId="2996599E" w14:textId="4FB15733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1.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F</w:t>
      </w:r>
      <w:r w:rsidRPr="001C2411">
        <w:rPr>
          <w:rFonts w:ascii="Century Gothic" w:hAnsi="Century Gothic"/>
          <w:bCs/>
          <w:sz w:val="20"/>
          <w:lang w:val="es-BO"/>
        </w:rPr>
        <w:t>ortalecimiento de mujeres adultas, adolescentes y jóvenes, para su auto reconocimiento como sujetas de derechos y para la gestión participativa en salud sexual y salud reproductiva (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). </w:t>
      </w:r>
      <w:r w:rsidR="00565988">
        <w:rPr>
          <w:rFonts w:ascii="Century Gothic" w:hAnsi="Century Gothic"/>
          <w:bCs/>
          <w:sz w:val="20"/>
          <w:lang w:val="es-BO"/>
        </w:rPr>
        <w:t>P</w:t>
      </w:r>
      <w:r w:rsidRPr="001C2411">
        <w:rPr>
          <w:rFonts w:ascii="Century Gothic" w:hAnsi="Century Gothic"/>
          <w:bCs/>
          <w:sz w:val="20"/>
          <w:lang w:val="es-BO"/>
        </w:rPr>
        <w:t xml:space="preserve">ara ello, partiendo de sus propios saberes y propia identificación de problemáticas de 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 en su comunidad, se realizarán procesos de fortalecimiento de capacidades de mujeres adultas, adolescentes y jóvenes (mujeres y hombres) en liderazgo, género y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 xml:space="preserve">con énfasis en anticoncepción, detección de cáncer de cuello uterino y salud materna, para que puedan emprender acciones de réplicas con sus pares así como acciones en articulación con los servicios públicos de salud como referencia de casos de </w:t>
      </w:r>
      <w:r w:rsidR="00565988" w:rsidRPr="001C2411">
        <w:rPr>
          <w:rFonts w:ascii="Century Gothic" w:hAnsi="Century Gothic"/>
          <w:bCs/>
          <w:sz w:val="20"/>
          <w:lang w:val="es-BO"/>
        </w:rPr>
        <w:t>SSR</w:t>
      </w:r>
      <w:r w:rsidRPr="001C2411">
        <w:rPr>
          <w:rFonts w:ascii="Century Gothic" w:hAnsi="Century Gothic"/>
          <w:bCs/>
          <w:sz w:val="20"/>
          <w:lang w:val="es-BO"/>
        </w:rPr>
        <w:t xml:space="preserve"> y otras acciones. </w:t>
      </w:r>
      <w:r w:rsidR="00565988">
        <w:rPr>
          <w:rFonts w:ascii="Century Gothic" w:hAnsi="Century Gothic"/>
          <w:bCs/>
          <w:sz w:val="20"/>
          <w:lang w:val="es-BO"/>
        </w:rPr>
        <w:t>E</w:t>
      </w:r>
      <w:r w:rsidRPr="001C2411">
        <w:rPr>
          <w:rFonts w:ascii="Century Gothic" w:hAnsi="Century Gothic"/>
          <w:bCs/>
          <w:sz w:val="20"/>
          <w:lang w:val="es-BO"/>
        </w:rPr>
        <w:t>stas mujeres capacitadas/os junto a lideresas de organizaciones sociales existentes en cada municipio, emprenderán procesos de vigilancia ciudadana a servicios públicos de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 SSR </w:t>
      </w:r>
      <w:r w:rsidRPr="001C2411">
        <w:rPr>
          <w:rFonts w:ascii="Century Gothic" w:hAnsi="Century Gothic"/>
          <w:bCs/>
          <w:sz w:val="20"/>
          <w:lang w:val="es-BO"/>
        </w:rPr>
        <w:t xml:space="preserve">generando propuestas de mejora de calidad en atención con respeto a la cultura; y se les apoyará para su activa participación en los procesos de la gestión participativa municipal en salud en base a la identificación de demandas en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>que realizarán previamente.</w:t>
      </w:r>
      <w:r w:rsidR="00565988">
        <w:rPr>
          <w:rFonts w:ascii="Century Gothic" w:hAnsi="Century Gothic"/>
          <w:bCs/>
          <w:sz w:val="20"/>
          <w:lang w:val="es-BO"/>
        </w:rPr>
        <w:t xml:space="preserve"> P</w:t>
      </w:r>
      <w:r w:rsidRPr="001C2411">
        <w:rPr>
          <w:rFonts w:ascii="Century Gothic" w:hAnsi="Century Gothic"/>
          <w:bCs/>
          <w:sz w:val="20"/>
          <w:lang w:val="es-BO"/>
        </w:rPr>
        <w:t>or otro lado, y con el fin de buscar apoyos del entorno cercano de los grupos capacitados, se realizarán talleres de sensibilización con líderes hombres y parejas de las mujeres capacitadas, así como con madres/padres de adolescentes capacitadas/os generando diálogos intergeneracionales.</w:t>
      </w:r>
    </w:p>
    <w:p w14:paraId="07F8DC17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71202217" w14:textId="4072CFCE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2.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L</w:t>
      </w:r>
      <w:r w:rsidRPr="001C2411">
        <w:rPr>
          <w:rFonts w:ascii="Century Gothic" w:hAnsi="Century Gothic"/>
          <w:bCs/>
          <w:sz w:val="20"/>
          <w:lang w:val="es-BO"/>
        </w:rPr>
        <w:t xml:space="preserve">a institucionalidad de los procesos es fundamental para lograr la sostenibilidad, por ello se fortalecerá a operadoras/es de salud, gestoras/es públicos y de la medicina tradicional para la atención en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alud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 w:rsidR="00565988">
        <w:rPr>
          <w:rFonts w:ascii="Century Gothic" w:hAnsi="Century Gothic"/>
          <w:bCs/>
          <w:sz w:val="20"/>
          <w:lang w:val="es-BO"/>
        </w:rPr>
        <w:t>R</w:t>
      </w:r>
      <w:r w:rsidRPr="001C2411">
        <w:rPr>
          <w:rFonts w:ascii="Century Gothic" w:hAnsi="Century Gothic"/>
          <w:bCs/>
          <w:sz w:val="20"/>
          <w:lang w:val="es-BO"/>
        </w:rPr>
        <w:t xml:space="preserve">eproductiva (con énfasis en la salud materna) de calidad, libre de violencia y de manera articulada en respuesta a demandas de la población. </w:t>
      </w:r>
    </w:p>
    <w:p w14:paraId="78C8ADFC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45C79076" w14:textId="455B9D01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lastRenderedPageBreak/>
        <w:t>3.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C</w:t>
      </w:r>
      <w:r w:rsidRPr="001C2411">
        <w:rPr>
          <w:rFonts w:ascii="Century Gothic" w:hAnsi="Century Gothic"/>
          <w:bCs/>
          <w:sz w:val="20"/>
          <w:lang w:val="es-BO"/>
        </w:rPr>
        <w:t xml:space="preserve">omo tercer eje, se trabajará para generar opinión pública favorable a los derechos sexuales, derechos reproductivos y la salud materna. </w:t>
      </w:r>
    </w:p>
    <w:p w14:paraId="70CFA201" w14:textId="4C708CF8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cap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el marco del </w:t>
      </w:r>
      <w:r w:rsidRPr="001C2411">
        <w:rPr>
          <w:rFonts w:ascii="Century Gothic" w:hAnsi="Century Gothic"/>
          <w:bCs/>
          <w:sz w:val="20"/>
          <w:lang w:val="es-BO"/>
        </w:rPr>
        <w:t>OE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1, en el que se prioriza por un lado la formación de mujeres adultas, de adolescentes y jóvenes para fortalecer su participación activa en acciones de exigibilidad y control social, por ello considera necesario la profundización del conocimientos y competencias en temas de género, relaciones de género transformadoras, liderazgos transformadores de género por la igualdad y promoción derechos sexuales y derechos reproductivos. en este sentido, </w:t>
      </w:r>
      <w:r w:rsidR="00C53E32" w:rsidRPr="001C2411">
        <w:rPr>
          <w:rFonts w:ascii="Century Gothic" w:hAnsi="Century Gothic"/>
          <w:bCs/>
          <w:sz w:val="20"/>
          <w:lang w:val="es-BO"/>
        </w:rPr>
        <w:t>CIES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y alianza por la solidaridad, desarrollaron procesos y acciones para el cumplimiento de resultados en la implementación del proyecto, para ello se requiere la “construcción de recursos y materiales de educación, información y comunicación para promover cambios de comportamientos y actitudes en la comunidad con referencia a la salud sexual, salud reproductiva con perspectiva de género para el ejercicio de los derechos sexuales y derechos reproductivos”, incorporando los enfoques de derechos, género,  descolonizador, despatriarcalizador e intercultural, favoreciendo  procesos de sensibilización de la salud sexual y salud reproductiva.</w:t>
      </w:r>
    </w:p>
    <w:p w14:paraId="2405447A" w14:textId="7C1477CF" w:rsidR="00F9054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Objetivo</w:t>
      </w:r>
      <w:r w:rsidR="00D543B5" w:rsidRPr="007131EB">
        <w:rPr>
          <w:rFonts w:ascii="Century Gothic" w:hAnsi="Century Gothic"/>
          <w:b/>
          <w:caps/>
          <w:sz w:val="20"/>
          <w:u w:val="single"/>
          <w:lang w:val="es-BO"/>
        </w:rPr>
        <w:t xml:space="preserve"> general</w:t>
      </w:r>
    </w:p>
    <w:p w14:paraId="73485F64" w14:textId="5A379FBC" w:rsidR="001C2411" w:rsidRPr="00067A16" w:rsidRDefault="001C2411" w:rsidP="001C2411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C53E32">
        <w:rPr>
          <w:rFonts w:ascii="Century Gothic" w:hAnsi="Century Gothic"/>
          <w:sz w:val="20"/>
          <w:szCs w:val="20"/>
          <w:lang w:val="es-MX"/>
        </w:rPr>
        <w:t>Construir recursos pedagógicos y comunicacionales para fortalecer los procesos de información, comunicación y educación de pares sobre salud materna, salud sexual y salud reproductiva.</w:t>
      </w:r>
    </w:p>
    <w:p w14:paraId="789FD8C6" w14:textId="77777777" w:rsidR="00D543B5" w:rsidRPr="00C53E32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C53E32">
        <w:rPr>
          <w:rFonts w:ascii="Century Gothic" w:hAnsi="Century Gothic"/>
          <w:b/>
          <w:caps/>
          <w:sz w:val="20"/>
          <w:u w:val="single"/>
          <w:lang w:val="es-BO"/>
        </w:rPr>
        <w:t>Objetivos ESPECÍFICOS</w:t>
      </w:r>
    </w:p>
    <w:p w14:paraId="637FA9A9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Identificar los recursos pedagógicos y comunicacionales requeridos en procesos de información, educación y comunicación desarrollados por promotoras comunitarias y por líderes juveniles en salud materna, salud sexual y salud reproductiva.</w:t>
      </w:r>
    </w:p>
    <w:p w14:paraId="339C935C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 xml:space="preserve">Construir los recursos pedagógicos y comunicacionales que faciliten la información y educación mediante la estrategia de pares, implementada con el proyecto. </w:t>
      </w:r>
    </w:p>
    <w:p w14:paraId="244F8B05" w14:textId="797AA636" w:rsidR="001C2411" w:rsidRDefault="001C2411" w:rsidP="007131EB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Diseñar, ilustrar y diagramar los recursos pedagógicos y comunicacionales en versión popular y contextualizada culturalmente sobre los contenidos de salud materna, salud sexual y salud reproductiva.</w:t>
      </w:r>
    </w:p>
    <w:p w14:paraId="71475F5F" w14:textId="77777777" w:rsidR="00C53E32" w:rsidRPr="00C53E32" w:rsidRDefault="00C53E32" w:rsidP="00FB45CB">
      <w:pPr>
        <w:pStyle w:val="Sinespaciado"/>
        <w:ind w:left="720"/>
        <w:jc w:val="both"/>
        <w:rPr>
          <w:rFonts w:ascii="Century Gothic" w:hAnsi="Century Gothic"/>
          <w:sz w:val="20"/>
          <w:szCs w:val="20"/>
          <w:lang w:eastAsia="es-ES"/>
        </w:rPr>
      </w:pPr>
    </w:p>
    <w:p w14:paraId="2A6EB37B" w14:textId="27312B1C" w:rsidR="006D6FF0" w:rsidRPr="007131EB" w:rsidRDefault="006D6FF0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Delimitación</w:t>
      </w:r>
    </w:p>
    <w:p w14:paraId="73E83AD7" w14:textId="77777777" w:rsidR="006D6FF0" w:rsidRPr="007131EB" w:rsidRDefault="006D6FF0" w:rsidP="007131EB">
      <w:pPr>
        <w:spacing w:line="240" w:lineRule="auto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implementación de la consultoría, se realizará con la siguiente delimitación:</w:t>
      </w:r>
    </w:p>
    <w:p w14:paraId="2F263D0C" w14:textId="22C27D2B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Espacial:</w:t>
      </w:r>
      <w:r w:rsidRPr="007131EB">
        <w:rPr>
          <w:rFonts w:ascii="Century Gothic" w:hAnsi="Century Gothic"/>
          <w:sz w:val="20"/>
          <w:lang w:val="es-BO"/>
        </w:rPr>
        <w:t xml:space="preserve"> El estudio debe realizarse en las siguientes ciudades: </w:t>
      </w:r>
      <w:r w:rsidR="000B1E5F" w:rsidRPr="007131EB">
        <w:rPr>
          <w:rFonts w:ascii="Century Gothic" w:hAnsi="Century Gothic"/>
          <w:sz w:val="20"/>
          <w:lang w:val="es-BO"/>
        </w:rPr>
        <w:t>La Paz El Alto</w:t>
      </w:r>
      <w:r w:rsidRPr="007131EB">
        <w:rPr>
          <w:rFonts w:ascii="Century Gothic" w:hAnsi="Century Gothic"/>
          <w:sz w:val="20"/>
          <w:lang w:val="es-BO"/>
        </w:rPr>
        <w:t xml:space="preserve">, </w:t>
      </w:r>
      <w:r w:rsidR="001C2411">
        <w:rPr>
          <w:rFonts w:ascii="Century Gothic" w:hAnsi="Century Gothic"/>
          <w:sz w:val="20"/>
          <w:lang w:val="es-BO"/>
        </w:rPr>
        <w:t>Pucarani y Viacha</w:t>
      </w:r>
    </w:p>
    <w:p w14:paraId="6900C169" w14:textId="024CEB7F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Temporal:</w:t>
      </w:r>
      <w:r w:rsidRPr="007131EB">
        <w:rPr>
          <w:rFonts w:ascii="Century Gothic" w:hAnsi="Century Gothic"/>
          <w:sz w:val="20"/>
          <w:lang w:val="es-BO"/>
        </w:rPr>
        <w:t xml:space="preserve"> La consultoría tendrá una duración de </w:t>
      </w:r>
      <w:r w:rsidR="001C2411">
        <w:rPr>
          <w:rFonts w:ascii="Century Gothic" w:hAnsi="Century Gothic"/>
          <w:sz w:val="20"/>
          <w:lang w:val="es-BO"/>
        </w:rPr>
        <w:t xml:space="preserve">2 </w:t>
      </w:r>
      <w:r w:rsidRPr="007131EB">
        <w:rPr>
          <w:rFonts w:ascii="Century Gothic" w:hAnsi="Century Gothic"/>
          <w:sz w:val="20"/>
          <w:lang w:val="es-BO"/>
        </w:rPr>
        <w:t>meses.</w:t>
      </w:r>
    </w:p>
    <w:p w14:paraId="5D08C0FE" w14:textId="56F7F749" w:rsidR="006D6FF0" w:rsidRPr="00A150CA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Poblacional:</w:t>
      </w:r>
      <w:r w:rsidR="00A150CA">
        <w:rPr>
          <w:rFonts w:ascii="Century Gothic" w:hAnsi="Century Gothic"/>
          <w:b/>
          <w:sz w:val="20"/>
          <w:lang w:val="es-BO"/>
        </w:rPr>
        <w:t xml:space="preserve"> </w:t>
      </w:r>
      <w:r w:rsidR="00A150CA" w:rsidRPr="00A150CA">
        <w:rPr>
          <w:rFonts w:ascii="Century Gothic" w:hAnsi="Century Gothic"/>
          <w:bCs/>
          <w:sz w:val="20"/>
          <w:lang w:val="es-BO"/>
        </w:rPr>
        <w:t>Dirigido a</w:t>
      </w:r>
      <w:r w:rsidR="00A150CA" w:rsidRPr="00A150CA">
        <w:rPr>
          <w:rFonts w:ascii="Century Gothic" w:hAnsi="Century Gothic"/>
          <w:sz w:val="20"/>
          <w:szCs w:val="20"/>
          <w:lang w:val="es-BO" w:eastAsia="es-ES"/>
        </w:rPr>
        <w:t xml:space="preserve"> brindar mayor información, educación a grupos de mujeres, de adolescentes y jóvenes</w:t>
      </w:r>
      <w:r w:rsidR="00A150CA">
        <w:rPr>
          <w:rFonts w:ascii="Century Gothic" w:hAnsi="Century Gothic"/>
          <w:sz w:val="20"/>
          <w:szCs w:val="20"/>
          <w:lang w:val="es-BO" w:eastAsia="es-ES"/>
        </w:rPr>
        <w:t>.</w:t>
      </w:r>
    </w:p>
    <w:p w14:paraId="33E0C709" w14:textId="77777777" w:rsidR="00354AFC" w:rsidRPr="007131EB" w:rsidRDefault="00354AFC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ENTREGABLES Y FECHAS DE ENTREGA</w:t>
      </w:r>
    </w:p>
    <w:p w14:paraId="3CEF62BA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Plan actividades y cronograma de trabajo operativo.</w:t>
      </w:r>
    </w:p>
    <w:p w14:paraId="46AB5C67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coordinación con CIES, en momentos clave para la construcción de productos de la consultoría.</w:t>
      </w:r>
    </w:p>
    <w:p w14:paraId="3704A54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Recopilar y sistematizar la información necesaria para la construcción de los recursos pedagógicos y comunicacionales.</w:t>
      </w:r>
    </w:p>
    <w:p w14:paraId="48463232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trabajo con CIES, para definición de criterios para la transferencia y manejo de los recursos.</w:t>
      </w:r>
    </w:p>
    <w:p w14:paraId="48007C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Definición de la línea de diseño gráfico a utilizar para la edición de los productos comunicacionales.</w:t>
      </w:r>
    </w:p>
    <w:p w14:paraId="55C79AB3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lastRenderedPageBreak/>
        <w:t>Proposición de líneas de diseño gráfico, de acuerdo a requerimientos del público objetivo y al manual de imagen corporativa de CIES.</w:t>
      </w:r>
    </w:p>
    <w:p w14:paraId="6586A5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Generar las ilustraciones contextualizadas culturalmente para el contenido de los materiales.</w:t>
      </w:r>
    </w:p>
    <w:p w14:paraId="799A9008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la guía, con fines de revisión y aprobación por CIES y Alianza por la Solidaridad, entregado en una copia impresa en papel.</w:t>
      </w:r>
    </w:p>
    <w:p w14:paraId="39947ACB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Diagramación de los productos comunicacionales, para entregar en formato electrónico con fines de impresión, en versión PDF. </w:t>
      </w:r>
    </w:p>
    <w:p w14:paraId="10378934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los productos comunicacionales, para entregar en formato electrónico con fines de impresión, en versión PDF y una copia impresa en papel.</w:t>
      </w:r>
    </w:p>
    <w:p w14:paraId="3D973FFF" w14:textId="0A6715F3" w:rsid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Elaboración de informes finales. </w:t>
      </w:r>
    </w:p>
    <w:p w14:paraId="2FC1CCFE" w14:textId="38E1EB37" w:rsid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E0966A2" w14:textId="77777777" w:rsidR="00C53E32" w:rsidRP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50"/>
        <w:gridCol w:w="851"/>
      </w:tblGrid>
      <w:tr w:rsidR="00C53E32" w:rsidRPr="00C53E32" w14:paraId="5BF079FE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CA9A2C6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PRODUCTOS</w:t>
            </w:r>
          </w:p>
        </w:tc>
        <w:tc>
          <w:tcPr>
            <w:tcW w:w="850" w:type="dxa"/>
            <w:shd w:val="clear" w:color="auto" w:fill="auto"/>
          </w:tcPr>
          <w:p w14:paraId="52D6690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1</w:t>
            </w:r>
          </w:p>
        </w:tc>
        <w:tc>
          <w:tcPr>
            <w:tcW w:w="851" w:type="dxa"/>
            <w:shd w:val="clear" w:color="auto" w:fill="auto"/>
          </w:tcPr>
          <w:p w14:paraId="06894A35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2</w:t>
            </w:r>
          </w:p>
        </w:tc>
      </w:tr>
      <w:tr w:rsidR="00C53E32" w:rsidRPr="00C47A5F" w14:paraId="4BF885A3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384DB98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 1.-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Propuesta de trabajo que incluya las actividades de validación, capacitación (transferencia) y manejo de productos comunicacionales a personal de CIES. </w:t>
            </w:r>
          </w:p>
        </w:tc>
        <w:tc>
          <w:tcPr>
            <w:tcW w:w="850" w:type="dxa"/>
            <w:shd w:val="clear" w:color="auto" w:fill="ED7D31"/>
          </w:tcPr>
          <w:p w14:paraId="0AE9134A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95B2C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C47A5F" w14:paraId="004FAE67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182B960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2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.- presentación de los productos comunicacionales construidos</w:t>
            </w:r>
            <w:r w:rsidRPr="00C53E32">
              <w:rPr>
                <w:rFonts w:ascii="Century Gothic" w:hAnsi="Century Gothic"/>
                <w:sz w:val="20"/>
                <w:szCs w:val="20"/>
              </w:rPr>
              <w:t>, para validación y aprobación por CIES y Alianza por la Solidaridad.</w:t>
            </w:r>
          </w:p>
        </w:tc>
        <w:tc>
          <w:tcPr>
            <w:tcW w:w="850" w:type="dxa"/>
            <w:shd w:val="clear" w:color="auto" w:fill="ED7D31"/>
          </w:tcPr>
          <w:p w14:paraId="5B278640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6561A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C47A5F" w14:paraId="25F046D1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0BE25D2B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3.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- Entrega los productos comunicacionales en versión digital ilustrada, diagramada con pertinencia cultural para imprenta.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Informe final que presenta la consolidación del trabajo realizado. la compilación de todos los productos e insumos generados en la construcción de la guía.</w:t>
            </w:r>
          </w:p>
        </w:tc>
        <w:tc>
          <w:tcPr>
            <w:tcW w:w="850" w:type="dxa"/>
            <w:shd w:val="clear" w:color="auto" w:fill="auto"/>
          </w:tcPr>
          <w:p w14:paraId="061CF37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FB60B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10D6503" w14:textId="77777777" w:rsidR="00C53E32" w:rsidRDefault="00C53E32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</w:p>
    <w:p w14:paraId="50FFD11A" w14:textId="13348635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  <w:r w:rsidRPr="006C7A60">
        <w:rPr>
          <w:rFonts w:ascii="Century Gothic" w:eastAsia="Calibri" w:hAnsi="Century Gothic" w:cs="Times New Roman"/>
          <w:b/>
          <w:spacing w:val="-3"/>
          <w:sz w:val="20"/>
          <w:u w:val="single"/>
          <w:lang w:val="es-BO"/>
        </w:rPr>
        <w:t xml:space="preserve">CONDICIONES </w:t>
      </w:r>
      <w:r w:rsidRPr="006C7A60">
        <w:rPr>
          <w:rFonts w:ascii="Century Gothic" w:hAnsi="Century Gothic"/>
          <w:b/>
          <w:spacing w:val="-3"/>
          <w:sz w:val="20"/>
          <w:u w:val="single"/>
          <w:lang w:val="es-BO"/>
        </w:rPr>
        <w:t>ADMINISTRATIVAS LEGALES</w:t>
      </w:r>
      <w:r w:rsidRPr="007131EB">
        <w:rPr>
          <w:rFonts w:ascii="Century Gothic" w:hAnsi="Century Gothic"/>
          <w:b/>
          <w:spacing w:val="-3"/>
          <w:sz w:val="20"/>
          <w:lang w:val="es-BO"/>
        </w:rPr>
        <w:t>.</w:t>
      </w:r>
    </w:p>
    <w:p w14:paraId="365B280A" w14:textId="77777777" w:rsidR="006C7A60" w:rsidRPr="006C7A60" w:rsidRDefault="006C7A60" w:rsidP="006C7A60">
      <w:pPr>
        <w:pStyle w:val="Sinespaciado"/>
        <w:numPr>
          <w:ilvl w:val="0"/>
          <w:numId w:val="18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CONDICIONES DE CONTRATACION</w:t>
      </w:r>
    </w:p>
    <w:p w14:paraId="621BD482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60B46700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La contratación se realizará después del análisis de una propuesta técnica y financiera que las y los interesados harán llegar a la Regional La Paz (Calle Colombia N° 539 entre Boquerón y Zoilo Flores) al Responsable de Servicios Educativos.</w:t>
      </w:r>
    </w:p>
    <w:p w14:paraId="03E05AC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5107F7E2" w14:textId="36A9C32A" w:rsidR="006C7A60" w:rsidRPr="006C7A60" w:rsidRDefault="006C7A60" w:rsidP="006C7A60">
      <w:pPr>
        <w:pStyle w:val="Sinespaciado"/>
        <w:numPr>
          <w:ilvl w:val="0"/>
          <w:numId w:val="19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DURACION DEL TRABAJO</w:t>
      </w:r>
    </w:p>
    <w:p w14:paraId="39BD86A6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36E3573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  <w:lang w:eastAsia="es-ES"/>
        </w:rPr>
      </w:pPr>
      <w:r w:rsidRPr="006C7A60">
        <w:rPr>
          <w:rFonts w:ascii="Century Gothic" w:hAnsi="Century Gothic"/>
          <w:sz w:val="20"/>
          <w:szCs w:val="20"/>
          <w:lang w:eastAsia="es-ES"/>
        </w:rPr>
        <w:t>Para el cumplimiento de los términos establecidos el Consultor (a), contará con un plazo de dos meses a partir de la firma del contrato. De acuerdo a los productos de la consultoría el trabajo no implicará más de 20 días al mes, ni 8 horas diarias por lo que quedan exentas del pago de contribuciones al as AFP.</w:t>
      </w:r>
    </w:p>
    <w:p w14:paraId="4A958257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64B627A2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FORMA DE PAGO</w:t>
      </w:r>
    </w:p>
    <w:p w14:paraId="3B1B5E8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24051684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La suma acordada por concepto de honorarios profesionales se distribuirá en 3 pagos:</w:t>
      </w:r>
    </w:p>
    <w:p w14:paraId="723D7A6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B8DA0F4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primer pago correspondiente al 40% se hará a la entrega del primer producto, siempre y cuando responda a los requerimientos respectivos a satisfacción de Equipo de CIES.</w:t>
      </w:r>
    </w:p>
    <w:p w14:paraId="43647AE5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0CB7D42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Un segundo pago correspondiente al 60% se hará contra la entrega de los productos con todos los requerimientos establecidos en los presentes términos de referencia, siempre y cuando responda a los requerimientos respectivos a satisfacción de CIES.</w:t>
      </w:r>
    </w:p>
    <w:p w14:paraId="19910D31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6CB3DDD3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lastRenderedPageBreak/>
        <w:t>Cada producto debe ir acompañado de una nota de entrega de la o el consultor, el producto en formato físico y digital, presentación de factura.</w:t>
      </w:r>
    </w:p>
    <w:p w14:paraId="4B51E8DE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05F5C99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PROPIEDAD INTELECTUAL</w:t>
      </w:r>
    </w:p>
    <w:p w14:paraId="05702C28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3B5AB474" w14:textId="1877BBD2" w:rsidR="006C7A60" w:rsidRPr="006C7A60" w:rsidRDefault="006C7A60" w:rsidP="006C7A60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bCs/>
          <w:sz w:val="20"/>
          <w:szCs w:val="20"/>
          <w:lang w:val="es-BO"/>
        </w:rPr>
        <w:t>Queda establecido en los términos de referencia, que los mismos que son parte indivisible del contrato al que se anexa, que toda la documentación o producción intelectual resultante del trabajo realizado por el consultor/consultora así como los informes que emita y toda otra información complementaria será considerada desde su elaboración como propiedad del CIES Salud Sexual Salud Reproductiva,</w:t>
      </w:r>
      <w:r w:rsidRPr="006C7A60">
        <w:rPr>
          <w:rFonts w:ascii="Century Gothic" w:hAnsi="Century Gothic"/>
          <w:sz w:val="20"/>
          <w:szCs w:val="20"/>
          <w:lang w:val="es-BO"/>
        </w:rPr>
        <w:t xml:space="preserve"> el mismo que tendrá los derechos exclusivos para publicar o difundir los mismos. </w:t>
      </w:r>
    </w:p>
    <w:p w14:paraId="297FA3BD" w14:textId="2FCA5B8B" w:rsidR="006C7A60" w:rsidRDefault="006C7A60" w:rsidP="00FB45CB">
      <w:pPr>
        <w:pStyle w:val="Sinespaciado"/>
        <w:jc w:val="both"/>
        <w:rPr>
          <w:rFonts w:ascii="Century Gothic" w:hAnsi="Century Gothic"/>
          <w:sz w:val="20"/>
          <w:szCs w:val="20"/>
          <w:lang w:val="es-BO"/>
        </w:rPr>
      </w:pPr>
      <w:r w:rsidRPr="006C7A60">
        <w:rPr>
          <w:rFonts w:ascii="Century Gothic" w:hAnsi="Century Gothic"/>
          <w:sz w:val="20"/>
          <w:szCs w:val="20"/>
          <w:lang w:val="es-BO"/>
        </w:rPr>
        <w:t>Este derecho continuará vigente aún concluida la relación contractual entre partes.</w:t>
      </w:r>
    </w:p>
    <w:p w14:paraId="0126A61D" w14:textId="77777777" w:rsidR="00FB45CB" w:rsidRPr="00FB45CB" w:rsidRDefault="00FB45CB" w:rsidP="00FB45CB">
      <w:pPr>
        <w:pStyle w:val="Sinespaciado"/>
        <w:jc w:val="both"/>
        <w:rPr>
          <w:rFonts w:ascii="Century Gothic" w:hAnsi="Century Gothic"/>
          <w:lang w:val="es-BO"/>
        </w:rPr>
      </w:pPr>
    </w:p>
    <w:p w14:paraId="1C328375" w14:textId="09876022" w:rsidR="00585316" w:rsidRDefault="00585316" w:rsidP="006C7A60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requisitos</w:t>
      </w:r>
    </w:p>
    <w:p w14:paraId="4649DE54" w14:textId="77777777" w:rsidR="006C7A60" w:rsidRPr="006C7A60" w:rsidRDefault="006C7A60" w:rsidP="006C7A60">
      <w:pPr>
        <w:pStyle w:val="Sinespaciado"/>
        <w:numPr>
          <w:ilvl w:val="0"/>
          <w:numId w:val="14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PERFIL DEL CONSULTOR(A)</w:t>
      </w:r>
    </w:p>
    <w:p w14:paraId="1AE312D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145658D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o La consultora debe cumplir con las siguientes características:</w:t>
      </w:r>
    </w:p>
    <w:p w14:paraId="4F99D87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C1209D9" w14:textId="77777777" w:rsidR="006C7A60" w:rsidRPr="006C7A60" w:rsidRDefault="006C7A60" w:rsidP="006C7A60">
      <w:pPr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Formación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Básica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  </w:t>
      </w:r>
    </w:p>
    <w:p w14:paraId="081632A7" w14:textId="42BF4601" w:rsidR="006C7A60" w:rsidRPr="00067A16" w:rsidRDefault="006C7A60" w:rsidP="00FB45CB">
      <w:pPr>
        <w:ind w:left="709"/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>Licenciatura en Ciencias de la Educación, Pedagogía, o carreras afines.</w:t>
      </w:r>
    </w:p>
    <w:p w14:paraId="56A1DFDF" w14:textId="77777777" w:rsidR="006C7A60" w:rsidRP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Experiencia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Especifica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</w:t>
      </w:r>
    </w:p>
    <w:p w14:paraId="1B16587D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 </w:t>
      </w:r>
    </w:p>
    <w:p w14:paraId="434D6B28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comprobada en diseño y/o elaboración de materiales educativos y comunicacionales sobre género, derechos sexuales y/o derechos reproductivos o sobre temáticas relacionadas. </w:t>
      </w:r>
    </w:p>
    <w:p w14:paraId="0C14BCC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en el diseño de documentos educativos, informativos y formativos con metodologías didácticas y de diseño. </w:t>
      </w:r>
    </w:p>
    <w:p w14:paraId="129A7FE0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Capacidad de análisis y procesamiento de datos e información, así como excelente redacción. </w:t>
      </w:r>
    </w:p>
    <w:p w14:paraId="469A970E" w14:textId="58AE1EDE" w:rsid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Experiencia de trabajo con organizaciones sociales sin fines de lucro.</w:t>
      </w:r>
    </w:p>
    <w:p w14:paraId="2AE313ED" w14:textId="77777777" w:rsidR="00FB45CB" w:rsidRPr="00FB45CB" w:rsidRDefault="00FB45CB" w:rsidP="00FB45CB">
      <w:pPr>
        <w:pStyle w:val="Sinespaciado"/>
        <w:ind w:left="1418"/>
        <w:jc w:val="both"/>
        <w:rPr>
          <w:rFonts w:ascii="Century Gothic" w:hAnsi="Century Gothic"/>
          <w:sz w:val="20"/>
          <w:szCs w:val="20"/>
        </w:rPr>
      </w:pPr>
    </w:p>
    <w:p w14:paraId="61884D37" w14:textId="170F44D2" w:rsid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  <w:lang w:val="es-BO"/>
        </w:rPr>
        <w:t>Conocimientos:</w:t>
      </w:r>
      <w:r w:rsidRPr="006C7A60">
        <w:rPr>
          <w:rFonts w:ascii="Century Gothic" w:hAnsi="Century Gothic"/>
          <w:b/>
          <w:sz w:val="20"/>
          <w:szCs w:val="20"/>
        </w:rPr>
        <w:t xml:space="preserve"> </w:t>
      </w:r>
    </w:p>
    <w:p w14:paraId="3FCFF964" w14:textId="77777777" w:rsidR="00FB45CB" w:rsidRPr="00FB45CB" w:rsidRDefault="00FB45CB" w:rsidP="00FB45CB">
      <w:pPr>
        <w:pStyle w:val="Prrafodelista"/>
        <w:spacing w:after="0" w:line="240" w:lineRule="auto"/>
        <w:ind w:left="1069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14:paraId="45072BA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Principios y estándares de los derechos de las mujeres, masculinidades, derechos sexuales y derechos reproductivos.</w:t>
      </w:r>
    </w:p>
    <w:p w14:paraId="3F222BAA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Conocimiento de salud, educación integral en sexualidad, violencia, derechos de las mujeres, derechos sexuales y derechos reproductivos.</w:t>
      </w:r>
    </w:p>
    <w:p w14:paraId="1CF1E09E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Conocimiento del enfoque transformador de género, descolonizador, </w:t>
      </w:r>
      <w:proofErr w:type="spellStart"/>
      <w:r w:rsidRPr="006C7A60">
        <w:rPr>
          <w:rFonts w:ascii="Century Gothic" w:hAnsi="Century Gothic"/>
          <w:sz w:val="20"/>
          <w:szCs w:val="20"/>
        </w:rPr>
        <w:t>despatriarcalizador</w:t>
      </w:r>
      <w:proofErr w:type="spellEnd"/>
      <w:r w:rsidRPr="006C7A60">
        <w:rPr>
          <w:rFonts w:ascii="Century Gothic" w:hAnsi="Century Gothic"/>
          <w:sz w:val="20"/>
          <w:szCs w:val="20"/>
        </w:rPr>
        <w:t xml:space="preserve"> e intercultural.</w:t>
      </w:r>
    </w:p>
    <w:p w14:paraId="0642C84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0B65E6D3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  <w:u w:val="single"/>
        </w:rPr>
      </w:pPr>
      <w:r w:rsidRPr="006C7A60">
        <w:rPr>
          <w:rFonts w:ascii="Century Gothic" w:hAnsi="Century Gothic"/>
          <w:b/>
          <w:sz w:val="20"/>
          <w:szCs w:val="20"/>
          <w:u w:val="single"/>
        </w:rPr>
        <w:t>DOCUMENTOS QUE DEBE PRESENTAR EL PROPONENTE</w:t>
      </w:r>
    </w:p>
    <w:p w14:paraId="5F54D689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4B73437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Para su postulación, el proponente deberá presentar la siguiente documentación:</w:t>
      </w:r>
    </w:p>
    <w:p w14:paraId="135AF1C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Carta de postulación con el título de la consultoría.</w:t>
      </w:r>
    </w:p>
    <w:p w14:paraId="22FA4A4B" w14:textId="1B912F24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Currículo Vit</w:t>
      </w:r>
      <w:r w:rsidR="00281B83">
        <w:rPr>
          <w:rFonts w:ascii="Century Gothic" w:hAnsi="Century Gothic"/>
          <w:sz w:val="20"/>
          <w:szCs w:val="20"/>
        </w:rPr>
        <w:t>a</w:t>
      </w:r>
      <w:r w:rsidRPr="006C7A60">
        <w:rPr>
          <w:rFonts w:ascii="Century Gothic" w:hAnsi="Century Gothic"/>
          <w:sz w:val="20"/>
          <w:szCs w:val="20"/>
        </w:rPr>
        <w:t xml:space="preserve">e, con copias de la documentación respectiva, ya que no se devolverá la documentación presentada. </w:t>
      </w:r>
    </w:p>
    <w:p w14:paraId="7700E16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Fotocopia simple de la Cedula de Identidad.</w:t>
      </w:r>
    </w:p>
    <w:p w14:paraId="77D43B87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Propuesta Técnica y Financiera.</w:t>
      </w:r>
    </w:p>
    <w:p w14:paraId="23FCA7DA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CB4E255" w14:textId="2EC008C6" w:rsidR="006C7A60" w:rsidRPr="006C7A60" w:rsidRDefault="006C7A60" w:rsidP="006C7A60">
      <w:pPr>
        <w:spacing w:line="240" w:lineRule="auto"/>
        <w:ind w:left="720"/>
        <w:jc w:val="both"/>
        <w:rPr>
          <w:rFonts w:ascii="Century Gothic" w:hAnsi="Century Gothic"/>
          <w:b/>
          <w:caps/>
          <w:sz w:val="18"/>
          <w:szCs w:val="20"/>
          <w:u w:val="single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>La falta de alguno de los documentos requeridos, implicara la descalificación del proponente</w:t>
      </w:r>
    </w:p>
    <w:p w14:paraId="454EB0E7" w14:textId="77777777" w:rsidR="006C7A60" w:rsidRPr="007131EB" w:rsidRDefault="006C7A60" w:rsidP="007131EB">
      <w:pPr>
        <w:spacing w:line="240" w:lineRule="auto"/>
        <w:ind w:left="720"/>
        <w:jc w:val="both"/>
        <w:rPr>
          <w:rFonts w:ascii="Century Gothic" w:hAnsi="Century Gothic"/>
          <w:sz w:val="20"/>
          <w:lang w:val="es-BO"/>
        </w:rPr>
      </w:pPr>
    </w:p>
    <w:p w14:paraId="6CF67F37" w14:textId="77777777" w:rsidR="00F9054B" w:rsidRPr="007131E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CONSIDERACIONES GENERALES DE LA PROPUESTA</w:t>
      </w:r>
      <w:r w:rsidR="00585316" w:rsidRPr="007131EB">
        <w:rPr>
          <w:rFonts w:ascii="Century Gothic" w:hAnsi="Century Gothic"/>
          <w:b/>
          <w:caps/>
          <w:sz w:val="20"/>
          <w:u w:val="single"/>
          <w:lang w:val="es-BO"/>
        </w:rPr>
        <w:t>, plazo y rotulo</w:t>
      </w:r>
    </w:p>
    <w:p w14:paraId="477B4F20" w14:textId="04581319" w:rsidR="00585316" w:rsidRPr="007131EB" w:rsidRDefault="00354AFC" w:rsidP="007131EB">
      <w:p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 xml:space="preserve">Las </w:t>
      </w:r>
      <w:r w:rsidR="00F9054B" w:rsidRPr="007131EB">
        <w:rPr>
          <w:rFonts w:ascii="Century Gothic" w:hAnsi="Century Gothic"/>
          <w:sz w:val="20"/>
          <w:lang w:val="es-BO"/>
        </w:rPr>
        <w:t xml:space="preserve">propuestas </w:t>
      </w:r>
      <w:r w:rsidRPr="007131EB">
        <w:rPr>
          <w:rFonts w:ascii="Century Gothic" w:hAnsi="Century Gothic"/>
          <w:sz w:val="20"/>
          <w:lang w:val="es-BO"/>
        </w:rPr>
        <w:t xml:space="preserve">se recibirán </w:t>
      </w:r>
      <w:r w:rsidR="00F9054B" w:rsidRPr="007131EB">
        <w:rPr>
          <w:rFonts w:ascii="Century Gothic" w:hAnsi="Century Gothic"/>
          <w:sz w:val="20"/>
          <w:lang w:val="es-BO"/>
        </w:rPr>
        <w:t xml:space="preserve">hasta el </w:t>
      </w:r>
      <w:r w:rsidR="00C47A5F">
        <w:rPr>
          <w:rFonts w:ascii="Century Gothic" w:hAnsi="Century Gothic"/>
          <w:sz w:val="20"/>
          <w:highlight w:val="yellow"/>
          <w:lang w:val="es-BO"/>
        </w:rPr>
        <w:t>30</w:t>
      </w:r>
      <w:r w:rsidR="00741574" w:rsidRPr="00741574">
        <w:rPr>
          <w:rFonts w:ascii="Century Gothic" w:hAnsi="Century Gothic"/>
          <w:sz w:val="20"/>
          <w:highlight w:val="yellow"/>
          <w:lang w:val="es-BO"/>
        </w:rPr>
        <w:t xml:space="preserve">  Abril de 2021</w:t>
      </w:r>
      <w:r w:rsidR="00585316" w:rsidRPr="007131EB">
        <w:rPr>
          <w:rFonts w:ascii="Century Gothic" w:hAnsi="Century Gothic"/>
          <w:sz w:val="20"/>
          <w:lang w:val="es-BO"/>
        </w:rPr>
        <w:t>, horas 1</w:t>
      </w:r>
      <w:r w:rsidR="007A78AB">
        <w:rPr>
          <w:rFonts w:ascii="Century Gothic" w:hAnsi="Century Gothic"/>
          <w:sz w:val="20"/>
          <w:lang w:val="es-BO"/>
        </w:rPr>
        <w:t>6</w:t>
      </w:r>
      <w:r w:rsidR="00585316" w:rsidRPr="007131EB">
        <w:rPr>
          <w:rFonts w:ascii="Century Gothic" w:hAnsi="Century Gothic"/>
          <w:sz w:val="20"/>
          <w:lang w:val="es-BO"/>
        </w:rPr>
        <w:t>:00</w:t>
      </w:r>
      <w:r w:rsidR="00F9054B" w:rsidRPr="007131EB">
        <w:rPr>
          <w:rFonts w:ascii="Century Gothic" w:hAnsi="Century Gothic"/>
          <w:sz w:val="20"/>
          <w:lang w:val="es-BO"/>
        </w:rPr>
        <w:t xml:space="preserve"> y</w:t>
      </w:r>
      <w:r w:rsidR="0088206B" w:rsidRPr="007131EB">
        <w:rPr>
          <w:rFonts w:ascii="Century Gothic" w:hAnsi="Century Gothic"/>
          <w:sz w:val="20"/>
          <w:lang w:val="es-BO"/>
        </w:rPr>
        <w:t xml:space="preserve"> deberán ser enviadas </w:t>
      </w:r>
      <w:r w:rsidR="00585316" w:rsidRPr="007131EB">
        <w:rPr>
          <w:rFonts w:ascii="Century Gothic" w:hAnsi="Century Gothic"/>
          <w:sz w:val="20"/>
          <w:lang w:val="es-BO"/>
        </w:rPr>
        <w:t>a CIES, OFICINA NACIONAL, calle 6 de obrajes Nro. 614, en un sobre cerrado con el siguiente rotulo</w:t>
      </w:r>
    </w:p>
    <w:p w14:paraId="60975910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INVITACION PÚBLICA</w:t>
      </w:r>
    </w:p>
    <w:p w14:paraId="29409DD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Señores: ONG Centro de Investigación Educación y Servicios </w:t>
      </w:r>
    </w:p>
    <w:p w14:paraId="2EF52C6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(CIES Salud Sexual - Salud Reproductiva) </w:t>
      </w:r>
    </w:p>
    <w:p w14:paraId="0EB66F8D" w14:textId="4B1F7E3C" w:rsidR="00585316" w:rsidRPr="0075445B" w:rsidRDefault="00585316" w:rsidP="0075445B">
      <w:pPr>
        <w:pStyle w:val="Sinespaciado"/>
        <w:jc w:val="center"/>
        <w:rPr>
          <w:rFonts w:ascii="Century Gothic" w:hAnsi="Century Gothic"/>
          <w:b/>
          <w:bCs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Convocatoria: “</w:t>
      </w:r>
      <w:r w:rsidR="0075445B"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  <w:r w:rsidRPr="007131EB">
        <w:rPr>
          <w:rFonts w:ascii="Century Gothic" w:hAnsi="Century Gothic"/>
          <w:b/>
          <w:bCs/>
          <w:sz w:val="20"/>
          <w:lang w:val="es-BO"/>
        </w:rPr>
        <w:t>”.</w:t>
      </w:r>
    </w:p>
    <w:p w14:paraId="07E223CE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Nombre del Proponente: ..................................... Telf.  ……………..</w:t>
      </w:r>
    </w:p>
    <w:p w14:paraId="0984566E" w14:textId="77777777" w:rsidR="007131EB" w:rsidRDefault="007131EB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2EBC18DE" w14:textId="77777777" w:rsidR="00281B83" w:rsidRPr="00067A16" w:rsidRDefault="00F9054B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El plazo de la ejecución del contrato será desde el momento de su suscripc</w:t>
      </w:r>
      <w:r w:rsidR="0088206B" w:rsidRPr="007131EB">
        <w:rPr>
          <w:rFonts w:ascii="Century Gothic" w:hAnsi="Century Gothic"/>
          <w:sz w:val="20"/>
          <w:lang w:val="es-BO"/>
        </w:rPr>
        <w:t xml:space="preserve">ión y hasta por </w:t>
      </w:r>
      <w:r w:rsidR="00741574">
        <w:rPr>
          <w:rFonts w:ascii="Century Gothic" w:hAnsi="Century Gothic"/>
          <w:sz w:val="20"/>
          <w:lang w:val="es-BO"/>
        </w:rPr>
        <w:t>8</w:t>
      </w:r>
      <w:r w:rsidR="0088206B" w:rsidRPr="007131EB">
        <w:rPr>
          <w:rFonts w:ascii="Century Gothic" w:hAnsi="Century Gothic"/>
          <w:sz w:val="20"/>
          <w:lang w:val="es-BO"/>
        </w:rPr>
        <w:t xml:space="preserve"> </w:t>
      </w:r>
      <w:r w:rsidRPr="007131EB">
        <w:rPr>
          <w:rFonts w:ascii="Century Gothic" w:hAnsi="Century Gothic"/>
          <w:sz w:val="20"/>
          <w:lang w:val="es-BO"/>
        </w:rPr>
        <w:t xml:space="preserve">semanas. La supervisión y evaluación de las propuestas estará a cargo de </w:t>
      </w:r>
      <w:r w:rsidR="00281B83" w:rsidRPr="00067A16">
        <w:rPr>
          <w:rFonts w:ascii="Century Gothic" w:hAnsi="Century Gothic"/>
          <w:sz w:val="20"/>
          <w:szCs w:val="20"/>
          <w:lang w:val="es-BO"/>
        </w:rPr>
        <w:t>Área Técnica de Oficina Nacional de CIES y el Equipo de Servicios Educativos de la Regional de La Paz y El Alto</w:t>
      </w:r>
      <w:r w:rsidR="00281B83" w:rsidRPr="00067A16">
        <w:rPr>
          <w:rFonts w:ascii="Times New Roman" w:hAnsi="Times New Roman"/>
          <w:lang w:val="es-BO"/>
        </w:rPr>
        <w:t>.</w:t>
      </w:r>
    </w:p>
    <w:p w14:paraId="34F45D1A" w14:textId="75F0B77C" w:rsidR="00354AFC" w:rsidRPr="00067A16" w:rsidRDefault="00354AFC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vinculación se realizará mediante un contrato por prestación de servicios, según lo estipulado en la ley.</w:t>
      </w:r>
    </w:p>
    <w:p w14:paraId="1DA48F8E" w14:textId="77777777" w:rsidR="001E67C8" w:rsidRPr="007131EB" w:rsidRDefault="001E67C8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INDICADORES PARA LA EVALUACIÓN DE PROPUESTAS</w:t>
      </w:r>
    </w:p>
    <w:p w14:paraId="4D23FDA5" w14:textId="488EA1C8" w:rsidR="00E74D36" w:rsidRPr="00281B83" w:rsidRDefault="00281B83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 xml:space="preserve">Perfil del consultor                                                                        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 xml:space="preserve">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>20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%</w:t>
      </w:r>
    </w:p>
    <w:p w14:paraId="78C69295" w14:textId="3BCA093F" w:rsidR="00E74D36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</w:t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 xml:space="preserve">ropuesta técnica 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58531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>3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0%</w:t>
      </w:r>
    </w:p>
    <w:p w14:paraId="0F0E8C2B" w14:textId="77777777" w:rsidR="001E67C8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Propuesta económica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50%</w:t>
      </w:r>
    </w:p>
    <w:p w14:paraId="3C23F675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AB2C01E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681220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3034C4B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1092CCB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AC4386F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4B5DDC2" w14:textId="6E0D194F" w:rsidR="00585316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790E77C" w14:textId="5D0D3638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EE5E8B2" w14:textId="351CD326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2DDD3485" w14:textId="1A349262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DE078B0" w14:textId="5782F5E4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62012B4" w14:textId="77777777" w:rsidR="00E60892" w:rsidRPr="007131EB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687B443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7F1B6A6B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59CE8348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>FORMULARIO IDENTIFICACION DEL PROPONENTE</w:t>
      </w:r>
    </w:p>
    <w:p w14:paraId="628F3719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b/>
          <w:sz w:val="20"/>
          <w:lang w:val="es-BO"/>
        </w:rPr>
      </w:pPr>
    </w:p>
    <w:p w14:paraId="2B41A109" w14:textId="77777777" w:rsidR="00585316" w:rsidRPr="007131EB" w:rsidRDefault="00585316" w:rsidP="007131EB">
      <w:pPr>
        <w:spacing w:after="0"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u w:val="single"/>
          <w:lang w:val="es-BO"/>
        </w:rPr>
        <w:t>IDENTIFICACION DEL PROPONENTE</w:t>
      </w:r>
    </w:p>
    <w:p w14:paraId="0FCB9FC7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1BD500A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6B452B2" w14:textId="77777777" w:rsidR="00585316" w:rsidRPr="007131EB" w:rsidRDefault="00585316" w:rsidP="00E60892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 razón social: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</w:t>
      </w:r>
    </w:p>
    <w:p w14:paraId="6ED53FF1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0602F31F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principal: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</w:t>
      </w:r>
    </w:p>
    <w:p w14:paraId="3A359566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4B1392E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Ciudad: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_______________________________________________________</w:t>
      </w:r>
    </w:p>
    <w:p w14:paraId="0DEB6C5C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BA8C650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Casilla: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</w:t>
      </w:r>
    </w:p>
    <w:p w14:paraId="34CCAA1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AA591E4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Teléfonos: ______________________________________________________</w:t>
      </w:r>
    </w:p>
    <w:p w14:paraId="2CDA9C6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9AE6385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Fax: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 Dirección electrónica: ____________________</w:t>
      </w:r>
    </w:p>
    <w:p w14:paraId="122CD23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C88525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original y año de fundación de la Firma: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</w:t>
      </w:r>
    </w:p>
    <w:p w14:paraId="74CC3B8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lang w:val="es-BO"/>
        </w:rPr>
      </w:pPr>
    </w:p>
    <w:p w14:paraId="5A13CAE2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445B263B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7D66F03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786DAE2A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firstLine="360"/>
        <w:jc w:val="both"/>
        <w:rPr>
          <w:rFonts w:ascii="Century Gothic" w:hAnsi="Century Gothic" w:cs="Arial"/>
          <w:sz w:val="20"/>
          <w:lang w:val="es-BO"/>
        </w:rPr>
      </w:pPr>
    </w:p>
    <w:p w14:paraId="22BF66A3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3D14BE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Tipo de Organización (marque el que corresponda)</w:t>
      </w:r>
    </w:p>
    <w:p w14:paraId="2F5A1B89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</w:p>
    <w:p w14:paraId="2EDF3435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Unipersonal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43E29C23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de Responsabilidad Limitada</w:t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678CBE1C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Anónima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>(  )</w:t>
      </w:r>
    </w:p>
    <w:p w14:paraId="1D661862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Accidental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  <w:t xml:space="preserve">(  )  </w:t>
      </w:r>
    </w:p>
    <w:p w14:paraId="70C223C4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</w:p>
    <w:p w14:paraId="62E310EF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C0D8F0B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 xml:space="preserve">Numero de NIT: _________ </w:t>
      </w:r>
    </w:p>
    <w:p w14:paraId="6F357A40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19FE09C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Número de Matrícula otorgado por FUNDEMPRESA ________</w:t>
      </w:r>
    </w:p>
    <w:p w14:paraId="1D78A826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8D78DCD" w14:textId="77777777" w:rsidR="00585316" w:rsidRPr="007131EB" w:rsidRDefault="00585316" w:rsidP="007131EB">
      <w:pPr>
        <w:spacing w:after="0" w:line="240" w:lineRule="auto"/>
        <w:ind w:left="4536"/>
        <w:jc w:val="both"/>
        <w:rPr>
          <w:rFonts w:ascii="Century Gothic" w:hAnsi="Century Gothic" w:cs="Arial"/>
          <w:sz w:val="20"/>
          <w:lang w:val="es-BO"/>
        </w:rPr>
      </w:pPr>
    </w:p>
    <w:p w14:paraId="4067BCB3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66BF06F3" w14:textId="77777777" w:rsidR="00585316" w:rsidRPr="007131EB" w:rsidRDefault="00585316" w:rsidP="007131EB">
      <w:pPr>
        <w:tabs>
          <w:tab w:val="center" w:pos="0"/>
        </w:tabs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</w:t>
      </w:r>
    </w:p>
    <w:p w14:paraId="497A9602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(Firma del Representante Legal)</w:t>
      </w:r>
    </w:p>
    <w:p w14:paraId="7ED99C9F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__________________________</w:t>
      </w:r>
    </w:p>
    <w:p w14:paraId="7D5A6E0E" w14:textId="77777777" w:rsidR="00585316" w:rsidRPr="007131EB" w:rsidRDefault="00585316" w:rsidP="007131EB">
      <w:pPr>
        <w:tabs>
          <w:tab w:val="center" w:pos="5103"/>
        </w:tabs>
        <w:spacing w:line="240" w:lineRule="auto"/>
        <w:jc w:val="center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(Nombre del Representante Legal)</w:t>
      </w:r>
    </w:p>
    <w:p w14:paraId="113CF750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6AE8850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543B2D5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130813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CD96A0D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3BC65D79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3FCC266" w14:textId="77777777" w:rsidR="00585316" w:rsidRPr="007131EB" w:rsidRDefault="00585316" w:rsidP="007131EB">
      <w:pPr>
        <w:pStyle w:val="Prrafodelista"/>
        <w:spacing w:after="0" w:line="240" w:lineRule="auto"/>
        <w:rPr>
          <w:rFonts w:ascii="Century Gothic" w:hAnsi="Century Gothic" w:cs="Arial"/>
          <w:sz w:val="20"/>
          <w:lang w:val="es-BO"/>
        </w:rPr>
      </w:pPr>
    </w:p>
    <w:p w14:paraId="52BA9BE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 xml:space="preserve">DETALLE DE LA EXPERIENCIA </w:t>
      </w:r>
    </w:p>
    <w:p w14:paraId="5BFC70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E766D18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20442170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0C398E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1127"/>
        <w:gridCol w:w="2651"/>
        <w:gridCol w:w="1908"/>
        <w:gridCol w:w="1324"/>
        <w:gridCol w:w="1805"/>
      </w:tblGrid>
      <w:tr w:rsidR="00585316" w:rsidRPr="00C47A5F" w14:paraId="1E200110" w14:textId="77777777" w:rsidTr="003B752F">
        <w:tc>
          <w:tcPr>
            <w:tcW w:w="534" w:type="dxa"/>
            <w:vAlign w:val="center"/>
          </w:tcPr>
          <w:p w14:paraId="1ACEDB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Nº</w:t>
            </w:r>
          </w:p>
        </w:tc>
        <w:tc>
          <w:tcPr>
            <w:tcW w:w="1134" w:type="dxa"/>
            <w:vAlign w:val="center"/>
          </w:tcPr>
          <w:p w14:paraId="0CB812A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FECHA</w:t>
            </w:r>
          </w:p>
        </w:tc>
        <w:tc>
          <w:tcPr>
            <w:tcW w:w="2693" w:type="dxa"/>
            <w:vAlign w:val="center"/>
          </w:tcPr>
          <w:p w14:paraId="0CAFFF2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NOMBRE DEL CLIENTE</w:t>
            </w:r>
          </w:p>
        </w:tc>
        <w:tc>
          <w:tcPr>
            <w:tcW w:w="1927" w:type="dxa"/>
            <w:vAlign w:val="center"/>
          </w:tcPr>
          <w:p w14:paraId="56DBA83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SERVICIO PRESTADO</w:t>
            </w:r>
          </w:p>
        </w:tc>
        <w:tc>
          <w:tcPr>
            <w:tcW w:w="1333" w:type="dxa"/>
            <w:vAlign w:val="center"/>
          </w:tcPr>
          <w:p w14:paraId="43D169A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MONTO TOTAL (Bs.)</w:t>
            </w:r>
          </w:p>
        </w:tc>
        <w:tc>
          <w:tcPr>
            <w:tcW w:w="1813" w:type="dxa"/>
            <w:vAlign w:val="center"/>
          </w:tcPr>
          <w:p w14:paraId="53CDED9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DOCUMENTO QUE RESPALDA LA PRESTACIÓN DEL SERVICIO</w:t>
            </w:r>
          </w:p>
        </w:tc>
      </w:tr>
      <w:tr w:rsidR="00585316" w:rsidRPr="007131EB" w14:paraId="6C5B4E7E" w14:textId="77777777" w:rsidTr="003B752F">
        <w:trPr>
          <w:trHeight w:val="477"/>
        </w:trPr>
        <w:tc>
          <w:tcPr>
            <w:tcW w:w="534" w:type="dxa"/>
            <w:vAlign w:val="center"/>
          </w:tcPr>
          <w:p w14:paraId="4CD5826D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1.</w:t>
            </w:r>
          </w:p>
        </w:tc>
        <w:tc>
          <w:tcPr>
            <w:tcW w:w="1134" w:type="dxa"/>
          </w:tcPr>
          <w:p w14:paraId="35F971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3D88114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80B1BE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4D39F0E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2DB265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56473E65" w14:textId="77777777" w:rsidTr="003B752F">
        <w:trPr>
          <w:trHeight w:val="555"/>
        </w:trPr>
        <w:tc>
          <w:tcPr>
            <w:tcW w:w="534" w:type="dxa"/>
            <w:vAlign w:val="center"/>
          </w:tcPr>
          <w:p w14:paraId="05DF250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2.</w:t>
            </w:r>
          </w:p>
        </w:tc>
        <w:tc>
          <w:tcPr>
            <w:tcW w:w="1134" w:type="dxa"/>
          </w:tcPr>
          <w:p w14:paraId="5C9C045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8602B9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4C7433F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20FA5FD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03BEED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62C6CE03" w14:textId="77777777" w:rsidTr="003B752F">
        <w:trPr>
          <w:trHeight w:val="563"/>
        </w:trPr>
        <w:tc>
          <w:tcPr>
            <w:tcW w:w="534" w:type="dxa"/>
            <w:vAlign w:val="center"/>
          </w:tcPr>
          <w:p w14:paraId="063185AE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3.</w:t>
            </w:r>
          </w:p>
        </w:tc>
        <w:tc>
          <w:tcPr>
            <w:tcW w:w="1134" w:type="dxa"/>
          </w:tcPr>
          <w:p w14:paraId="34E227A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317D11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3BC30C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05A7ED3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644A6F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D51673D" w14:textId="77777777" w:rsidTr="003B752F">
        <w:trPr>
          <w:trHeight w:val="543"/>
        </w:trPr>
        <w:tc>
          <w:tcPr>
            <w:tcW w:w="534" w:type="dxa"/>
            <w:vAlign w:val="center"/>
          </w:tcPr>
          <w:p w14:paraId="7FDA395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4.</w:t>
            </w:r>
          </w:p>
        </w:tc>
        <w:tc>
          <w:tcPr>
            <w:tcW w:w="1134" w:type="dxa"/>
          </w:tcPr>
          <w:p w14:paraId="71D64F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45B35D2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D0866D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165D6A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8BBF2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5D2C4D0" w14:textId="77777777" w:rsidTr="003B752F">
        <w:trPr>
          <w:trHeight w:val="579"/>
        </w:trPr>
        <w:tc>
          <w:tcPr>
            <w:tcW w:w="534" w:type="dxa"/>
            <w:vAlign w:val="center"/>
          </w:tcPr>
          <w:p w14:paraId="36F28F3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…</w:t>
            </w:r>
          </w:p>
        </w:tc>
        <w:tc>
          <w:tcPr>
            <w:tcW w:w="1134" w:type="dxa"/>
          </w:tcPr>
          <w:p w14:paraId="126CF4C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78F7D1F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563F79E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5C34662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61402B8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0925590" w14:textId="77777777" w:rsidTr="003B752F">
        <w:trPr>
          <w:trHeight w:val="545"/>
        </w:trPr>
        <w:tc>
          <w:tcPr>
            <w:tcW w:w="534" w:type="dxa"/>
            <w:vAlign w:val="center"/>
          </w:tcPr>
          <w:p w14:paraId="31D5598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</w:t>
            </w:r>
          </w:p>
        </w:tc>
        <w:tc>
          <w:tcPr>
            <w:tcW w:w="1134" w:type="dxa"/>
          </w:tcPr>
          <w:p w14:paraId="60D91E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04781CD8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EF7399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3D69861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449DC3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38E973D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6F0EDD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sz w:val="20"/>
          <w:lang w:val="es-BO"/>
        </w:rPr>
      </w:pPr>
    </w:p>
    <w:p w14:paraId="28560BCB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El proponente debe adjuntar a este formulario la documentación de respaldo (fotocopias de facturas o contrato) que permita verificar la ejecución y cumplimiento de los servicios.</w:t>
      </w:r>
    </w:p>
    <w:p w14:paraId="080F2C9D" w14:textId="77777777" w:rsidR="00585316" w:rsidRPr="007131EB" w:rsidRDefault="00AC7055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Máximo</w:t>
      </w:r>
      <w:r w:rsidR="00585316" w:rsidRPr="007131EB">
        <w:rPr>
          <w:rFonts w:ascii="Century Gothic" w:hAnsi="Century Gothic" w:cs="Arial"/>
          <w:sz w:val="20"/>
          <w:lang w:val="es-BO"/>
        </w:rPr>
        <w:t xml:space="preserve"> 50 hojas.</w:t>
      </w:r>
    </w:p>
    <w:p w14:paraId="492F298C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sectPr w:rsidR="00585316" w:rsidRPr="007131EB" w:rsidSect="00BE4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26A7" w14:textId="77777777" w:rsidR="00AD29BB" w:rsidRDefault="00AD29BB" w:rsidP="00D73DC4">
      <w:pPr>
        <w:spacing w:after="0" w:line="240" w:lineRule="auto"/>
      </w:pPr>
      <w:r>
        <w:separator/>
      </w:r>
    </w:p>
  </w:endnote>
  <w:endnote w:type="continuationSeparator" w:id="0">
    <w:p w14:paraId="10D9DB12" w14:textId="77777777" w:rsidR="00AD29BB" w:rsidRDefault="00AD29BB" w:rsidP="00D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39E36" w14:textId="77777777" w:rsidR="00BE4ACB" w:rsidRDefault="00BE4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8748" w14:textId="77777777" w:rsidR="00BE4ACB" w:rsidRDefault="00BE4A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586C" w14:textId="77777777" w:rsidR="00BE4ACB" w:rsidRDefault="00BE4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43B62" w14:textId="77777777" w:rsidR="00AD29BB" w:rsidRDefault="00AD29BB" w:rsidP="00D73DC4">
      <w:pPr>
        <w:spacing w:after="0" w:line="240" w:lineRule="auto"/>
      </w:pPr>
      <w:r>
        <w:separator/>
      </w:r>
    </w:p>
  </w:footnote>
  <w:footnote w:type="continuationSeparator" w:id="0">
    <w:p w14:paraId="05D7FBE7" w14:textId="77777777" w:rsidR="00AD29BB" w:rsidRDefault="00AD29BB" w:rsidP="00D7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C393" w14:textId="77777777" w:rsidR="00BE4ACB" w:rsidRDefault="00BE4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89" w:type="dxa"/>
      <w:tblInd w:w="-14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8"/>
      <w:gridCol w:w="7229"/>
      <w:gridCol w:w="2932"/>
    </w:tblGrid>
    <w:tr w:rsidR="00D73DC4" w:rsidRPr="00C47A5F" w14:paraId="2BE09EAA" w14:textId="77777777" w:rsidTr="0003117A">
      <w:trPr>
        <w:trHeight w:val="1267"/>
      </w:trPr>
      <w:tc>
        <w:tcPr>
          <w:tcW w:w="1628" w:type="dxa"/>
        </w:tcPr>
        <w:p w14:paraId="58AAFD5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333A810" wp14:editId="511773E2">
                <wp:simplePos x="0" y="0"/>
                <wp:positionH relativeFrom="column">
                  <wp:posOffset>129266</wp:posOffset>
                </wp:positionH>
                <wp:positionV relativeFrom="paragraph">
                  <wp:posOffset>18026</wp:posOffset>
                </wp:positionV>
                <wp:extent cx="593678" cy="695481"/>
                <wp:effectExtent l="0" t="0" r="0" b="0"/>
                <wp:wrapNone/>
                <wp:docPr id="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776" cy="701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C67D34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03BDF203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28FA0075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3472AD3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7229" w:type="dxa"/>
        </w:tcPr>
        <w:p w14:paraId="2E6C7AD7" w14:textId="77777777" w:rsidR="00D73DC4" w:rsidRPr="00D73DC4" w:rsidRDefault="00D73DC4" w:rsidP="00D73DC4">
          <w:pPr>
            <w:spacing w:after="0" w:line="240" w:lineRule="auto"/>
            <w:jc w:val="center"/>
            <w:rPr>
              <w:rFonts w:cs="Arial"/>
              <w:sz w:val="20"/>
              <w:szCs w:val="20"/>
              <w:lang w:val="es-MX"/>
            </w:rPr>
          </w:pPr>
          <w:r w:rsidRPr="00D73DC4">
            <w:rPr>
              <w:rFonts w:cs="Arial"/>
              <w:sz w:val="20"/>
              <w:szCs w:val="20"/>
              <w:lang w:val="es-MX"/>
            </w:rPr>
            <w:t xml:space="preserve"> </w:t>
          </w:r>
        </w:p>
        <w:p w14:paraId="12B14BBF" w14:textId="77777777" w:rsidR="00D73DC4" w:rsidRPr="00BE4ACB" w:rsidRDefault="00D73DC4" w:rsidP="00D73DC4">
          <w:pPr>
            <w:spacing w:after="0" w:line="240" w:lineRule="auto"/>
            <w:jc w:val="center"/>
            <w:rPr>
              <w:rFonts w:cs="Arial"/>
              <w:b/>
              <w:bCs/>
              <w:sz w:val="20"/>
              <w:szCs w:val="20"/>
              <w:lang w:val="es-MX"/>
            </w:rPr>
          </w:pPr>
          <w:r w:rsidRPr="00BE4ACB">
            <w:rPr>
              <w:rFonts w:cs="Arial"/>
              <w:b/>
              <w:bCs/>
              <w:sz w:val="20"/>
              <w:szCs w:val="20"/>
              <w:lang w:val="es-MX"/>
            </w:rPr>
            <w:t>SISTEMA GESTION DE LA CALIDAD</w:t>
          </w:r>
        </w:p>
        <w:p w14:paraId="27D1805D" w14:textId="61AECD24" w:rsidR="00BD1634" w:rsidRDefault="00D73DC4" w:rsidP="00BD1634">
          <w:pPr>
            <w:spacing w:after="0"/>
            <w:jc w:val="center"/>
            <w:rPr>
              <w:b/>
              <w:color w:val="FF0000"/>
              <w:sz w:val="20"/>
              <w:szCs w:val="20"/>
              <w:lang w:val="es-MX"/>
            </w:rPr>
          </w:pPr>
          <w:r>
            <w:rPr>
              <w:b/>
              <w:color w:val="FF0000"/>
              <w:sz w:val="20"/>
              <w:szCs w:val="20"/>
              <w:lang w:val="es-MX"/>
            </w:rPr>
            <w:t xml:space="preserve">TERMINOS DE REFERENCIA </w:t>
          </w:r>
          <w:r w:rsidR="00BD1634">
            <w:rPr>
              <w:b/>
              <w:color w:val="FF0000"/>
              <w:sz w:val="20"/>
              <w:szCs w:val="20"/>
              <w:lang w:val="es-MX"/>
            </w:rPr>
            <w:t xml:space="preserve">/ </w:t>
          </w:r>
          <w:r w:rsidR="00DD293B">
            <w:rPr>
              <w:b/>
              <w:color w:val="FF0000"/>
              <w:sz w:val="20"/>
              <w:szCs w:val="20"/>
              <w:lang w:val="es-MX"/>
            </w:rPr>
            <w:t>CONSULTORIA</w:t>
          </w:r>
        </w:p>
        <w:p w14:paraId="229C1533" w14:textId="77777777" w:rsidR="00D73DC4" w:rsidRPr="00D73DC4" w:rsidRDefault="00D73DC4" w:rsidP="00BE4ACB">
          <w:pPr>
            <w:spacing w:after="0"/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932" w:type="dxa"/>
        </w:tcPr>
        <w:p w14:paraId="58E60DD5" w14:textId="77777777" w:rsidR="00D73DC4" w:rsidRPr="00D73DC4" w:rsidRDefault="00D73DC4" w:rsidP="00D73DC4">
          <w:p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000000"/>
              <w:sz w:val="24"/>
              <w:szCs w:val="24"/>
              <w:lang w:val="es-MX" w:eastAsia="es-MX"/>
            </w:rPr>
          </w:pPr>
        </w:p>
        <w:p w14:paraId="606B54C5" w14:textId="513AD752" w:rsidR="0003117A" w:rsidRPr="0003117A" w:rsidRDefault="0003117A" w:rsidP="0003117A">
          <w:pPr>
            <w:contextualSpacing/>
            <w:rPr>
              <w:color w:val="000000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CODIGO: SGC-Apoyo-ABS-2-oo</w:t>
          </w:r>
          <w:r>
            <w:rPr>
              <w:color w:val="000000"/>
              <w:sz w:val="18"/>
              <w:szCs w:val="18"/>
              <w:lang w:val="es-MX"/>
            </w:rPr>
            <w:t>9</w:t>
          </w:r>
        </w:p>
        <w:p w14:paraId="268DE03F" w14:textId="41408416" w:rsidR="00D73DC4" w:rsidRPr="0003117A" w:rsidRDefault="0003117A" w:rsidP="0003117A">
          <w:pPr>
            <w:spacing w:after="0" w:line="240" w:lineRule="auto"/>
            <w:contextualSpacing/>
            <w:rPr>
              <w:rFonts w:cs="Arial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VIGENCIA DESDE:</w:t>
          </w:r>
          <w:r w:rsidR="00330974">
            <w:rPr>
              <w:color w:val="000000"/>
              <w:sz w:val="18"/>
              <w:szCs w:val="18"/>
              <w:lang w:val="es-MX"/>
            </w:rPr>
            <w:t>06</w:t>
          </w:r>
          <w:r w:rsidRPr="0003117A">
            <w:rPr>
              <w:color w:val="000000"/>
              <w:sz w:val="18"/>
              <w:szCs w:val="18"/>
              <w:lang w:val="es-MX"/>
            </w:rPr>
            <w:t>/03/2020</w:t>
          </w:r>
        </w:p>
      </w:tc>
    </w:tr>
  </w:tbl>
  <w:p w14:paraId="28CEB847" w14:textId="77777777" w:rsidR="00D73DC4" w:rsidRPr="0003117A" w:rsidRDefault="00D73D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7C80" w14:textId="77777777" w:rsidR="00BE4ACB" w:rsidRDefault="00BE4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CA0"/>
    <w:multiLevelType w:val="hybridMultilevel"/>
    <w:tmpl w:val="9E7207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C86"/>
    <w:multiLevelType w:val="multilevel"/>
    <w:tmpl w:val="4CB2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EC3AF9"/>
    <w:multiLevelType w:val="multilevel"/>
    <w:tmpl w:val="76448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E3010"/>
    <w:multiLevelType w:val="hybridMultilevel"/>
    <w:tmpl w:val="1BC47A9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4763"/>
    <w:multiLevelType w:val="hybridMultilevel"/>
    <w:tmpl w:val="050E3702"/>
    <w:lvl w:ilvl="0" w:tplc="F852E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CFA"/>
    <w:multiLevelType w:val="hybridMultilevel"/>
    <w:tmpl w:val="DF38F11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5729B6"/>
    <w:multiLevelType w:val="hybridMultilevel"/>
    <w:tmpl w:val="EB0CC6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70"/>
    <w:multiLevelType w:val="hybridMultilevel"/>
    <w:tmpl w:val="5EC2A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760"/>
    <w:multiLevelType w:val="hybridMultilevel"/>
    <w:tmpl w:val="A8C639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043"/>
    <w:multiLevelType w:val="hybridMultilevel"/>
    <w:tmpl w:val="7ED8A3E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319"/>
    <w:multiLevelType w:val="hybridMultilevel"/>
    <w:tmpl w:val="1F929B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0171D"/>
    <w:multiLevelType w:val="hybridMultilevel"/>
    <w:tmpl w:val="AD1A5E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BE9"/>
    <w:multiLevelType w:val="hybridMultilevel"/>
    <w:tmpl w:val="3BC67D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095A"/>
    <w:multiLevelType w:val="hybridMultilevel"/>
    <w:tmpl w:val="F1365C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76DB"/>
    <w:multiLevelType w:val="hybridMultilevel"/>
    <w:tmpl w:val="FF0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44AB"/>
    <w:multiLevelType w:val="hybridMultilevel"/>
    <w:tmpl w:val="2546446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CC77FE"/>
    <w:multiLevelType w:val="hybridMultilevel"/>
    <w:tmpl w:val="243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3165"/>
    <w:multiLevelType w:val="hybridMultilevel"/>
    <w:tmpl w:val="429A63E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E8A72D8"/>
    <w:multiLevelType w:val="hybridMultilevel"/>
    <w:tmpl w:val="131A0B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891F03"/>
    <w:multiLevelType w:val="hybridMultilevel"/>
    <w:tmpl w:val="D43EE854"/>
    <w:lvl w:ilvl="0" w:tplc="7BE45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475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20"/>
    <w:lvlOverride w:ilvl="0">
      <w:startOverride w:val="1"/>
    </w:lvlOverride>
  </w:num>
  <w:num w:numId="11">
    <w:abstractNumId w:val="19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8"/>
  </w:num>
  <w:num w:numId="19">
    <w:abstractNumId w:val="5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4B"/>
    <w:rsid w:val="0003117A"/>
    <w:rsid w:val="00067A16"/>
    <w:rsid w:val="00091645"/>
    <w:rsid w:val="000B1E5F"/>
    <w:rsid w:val="000C1A95"/>
    <w:rsid w:val="00151FE0"/>
    <w:rsid w:val="00152221"/>
    <w:rsid w:val="001C2411"/>
    <w:rsid w:val="001E67C8"/>
    <w:rsid w:val="00227E94"/>
    <w:rsid w:val="00233106"/>
    <w:rsid w:val="00281B83"/>
    <w:rsid w:val="002F71DA"/>
    <w:rsid w:val="00330974"/>
    <w:rsid w:val="00354AFC"/>
    <w:rsid w:val="00370877"/>
    <w:rsid w:val="00393903"/>
    <w:rsid w:val="003E5D9A"/>
    <w:rsid w:val="00427346"/>
    <w:rsid w:val="00453813"/>
    <w:rsid w:val="005225F5"/>
    <w:rsid w:val="00565988"/>
    <w:rsid w:val="00567B81"/>
    <w:rsid w:val="00585316"/>
    <w:rsid w:val="005857D4"/>
    <w:rsid w:val="00654992"/>
    <w:rsid w:val="00661A86"/>
    <w:rsid w:val="0067565B"/>
    <w:rsid w:val="006B7F99"/>
    <w:rsid w:val="006C7A60"/>
    <w:rsid w:val="006D6FF0"/>
    <w:rsid w:val="007131EB"/>
    <w:rsid w:val="00741574"/>
    <w:rsid w:val="0075445B"/>
    <w:rsid w:val="00787583"/>
    <w:rsid w:val="007A78AB"/>
    <w:rsid w:val="007B79A8"/>
    <w:rsid w:val="007F5765"/>
    <w:rsid w:val="008049F8"/>
    <w:rsid w:val="008050C9"/>
    <w:rsid w:val="00811905"/>
    <w:rsid w:val="00811F67"/>
    <w:rsid w:val="0088206B"/>
    <w:rsid w:val="008D668F"/>
    <w:rsid w:val="008E6B70"/>
    <w:rsid w:val="00906CBC"/>
    <w:rsid w:val="00982C48"/>
    <w:rsid w:val="00A02347"/>
    <w:rsid w:val="00A150CA"/>
    <w:rsid w:val="00AC7055"/>
    <w:rsid w:val="00AD0A30"/>
    <w:rsid w:val="00AD29BB"/>
    <w:rsid w:val="00B223D4"/>
    <w:rsid w:val="00B81A46"/>
    <w:rsid w:val="00BB41BA"/>
    <w:rsid w:val="00BD1634"/>
    <w:rsid w:val="00BE4ACB"/>
    <w:rsid w:val="00C47A5F"/>
    <w:rsid w:val="00C53E32"/>
    <w:rsid w:val="00C736B9"/>
    <w:rsid w:val="00CF21BD"/>
    <w:rsid w:val="00D334F6"/>
    <w:rsid w:val="00D543B5"/>
    <w:rsid w:val="00D73DC4"/>
    <w:rsid w:val="00DB726A"/>
    <w:rsid w:val="00DD2623"/>
    <w:rsid w:val="00DD293B"/>
    <w:rsid w:val="00E521FD"/>
    <w:rsid w:val="00E60892"/>
    <w:rsid w:val="00E74D36"/>
    <w:rsid w:val="00F01EEC"/>
    <w:rsid w:val="00F1765A"/>
    <w:rsid w:val="00F31EEA"/>
    <w:rsid w:val="00F66265"/>
    <w:rsid w:val="00F9054B"/>
    <w:rsid w:val="00FB0856"/>
    <w:rsid w:val="00FB45C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81A5"/>
  <w15:docId w15:val="{AC7E8116-A3C6-44FE-9573-D0B22D5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521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354A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85316"/>
    <w:pPr>
      <w:spacing w:after="0" w:line="240" w:lineRule="auto"/>
    </w:pPr>
    <w:rPr>
      <w:rFonts w:eastAsiaTheme="minorEastAsia"/>
      <w:lang w:val="es-BO" w:eastAsia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1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1EB"/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C4"/>
  </w:style>
  <w:style w:type="paragraph" w:styleId="Piedepgina">
    <w:name w:val="footer"/>
    <w:basedOn w:val="Normal"/>
    <w:link w:val="Piedepgina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C4"/>
  </w:style>
  <w:style w:type="paragraph" w:styleId="Sinespaciado">
    <w:name w:val="No Spacing"/>
    <w:link w:val="SinespaciadoCar"/>
    <w:uiPriority w:val="1"/>
    <w:qFormat/>
    <w:rsid w:val="001C241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C2411"/>
    <w:rPr>
      <w:rFonts w:ascii="Verdana" w:eastAsia="Times New Roman" w:hAnsi="Verdana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6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b5450119-cbc7-40fe-8f4d-6f885273d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E5BA57E86C14AACFC24412AE0A25D" ma:contentTypeVersion="10" ma:contentTypeDescription="Crear nuevo documento." ma:contentTypeScope="" ma:versionID="272ddd3655bd8e022ad203a789146992">
  <xsd:schema xmlns:xsd="http://www.w3.org/2001/XMLSchema" xmlns:xs="http://www.w3.org/2001/XMLSchema" xmlns:p="http://schemas.microsoft.com/office/2006/metadata/properties" xmlns:ns2="b5450119-cbc7-40fe-8f4d-6f885273d659" xmlns:ns3="4d5e6d18-82c6-415a-862d-db160ef0627d" targetNamespace="http://schemas.microsoft.com/office/2006/metadata/properties" ma:root="true" ma:fieldsID="445f91fdc7296e846ed182bd30e6042e" ns2:_="" ns3:_="">
    <xsd:import namespace="b5450119-cbc7-40fe-8f4d-6f885273d659"/>
    <xsd:import namespace="4d5e6d18-82c6-415a-862d-db160ef06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0119-cbc7-40fe-8f4d-6f885273d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echa" ma:index="17" nillable="true" ma:displayName="Fecha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d18-82c6-415a-862d-db160ef06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9E1C5-C09B-47FB-B52A-5ACAE9F3653A}">
  <ds:schemaRefs>
    <ds:schemaRef ds:uri="http://schemas.microsoft.com/office/2006/metadata/properties"/>
    <ds:schemaRef ds:uri="http://schemas.microsoft.com/office/infopath/2007/PartnerControls"/>
    <ds:schemaRef ds:uri="b5450119-cbc7-40fe-8f4d-6f885273d659"/>
  </ds:schemaRefs>
</ds:datastoreItem>
</file>

<file path=customXml/itemProps2.xml><?xml version="1.0" encoding="utf-8"?>
<ds:datastoreItem xmlns:ds="http://schemas.openxmlformats.org/officeDocument/2006/customXml" ds:itemID="{01886C99-F0D5-417E-BDCA-D19E66E4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E765B-A02C-473E-A041-30EF737D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0119-cbc7-40fe-8f4d-6f885273d659"/>
    <ds:schemaRef ds:uri="4d5e6d18-82c6-415a-862d-db160ef06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2131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Martin Lopez Crespo</dc:creator>
  <cp:lastModifiedBy>Monica Alejandra Vargas Tapia</cp:lastModifiedBy>
  <cp:revision>2</cp:revision>
  <cp:lastPrinted>2019-04-16T19:05:00Z</cp:lastPrinted>
  <dcterms:created xsi:type="dcterms:W3CDTF">2021-04-26T13:13:00Z</dcterms:created>
  <dcterms:modified xsi:type="dcterms:W3CDTF">2021-04-26T13:13:00Z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0x010100F2EE5BA57E86C14AACFC24412AE0A25D</vt:lpwstr>
  </property>
</Properties>
</file>